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D1" w:rsidRDefault="002B127B">
      <w:pPr>
        <w:spacing w:after="0" w:line="259" w:lineRule="auto"/>
        <w:ind w:left="0" w:firstLine="0"/>
      </w:pPr>
      <w:r>
        <w:rPr>
          <w:b/>
          <w:sz w:val="39"/>
        </w:rPr>
        <w:t>Psychiatrist</w:t>
      </w:r>
    </w:p>
    <w:p w:rsidR="00093CD1" w:rsidRDefault="002B127B">
      <w:pPr>
        <w:spacing w:after="281" w:line="259" w:lineRule="auto"/>
        <w:ind w:left="0" w:right="-4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53262" cy="28575"/>
                <wp:effectExtent l="0" t="0" r="0" b="0"/>
                <wp:docPr id="1187" name="Group 1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3262" cy="28575"/>
                          <a:chOff x="0" y="0"/>
                          <a:chExt cx="7053262" cy="28575"/>
                        </a:xfrm>
                      </wpg:grpSpPr>
                      <wps:wsp>
                        <wps:cNvPr id="2420" name="Shape 2420"/>
                        <wps:cNvSpPr/>
                        <wps:spPr>
                          <a:xfrm>
                            <a:off x="0" y="0"/>
                            <a:ext cx="7053262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8575">
                                <a:moveTo>
                                  <a:pt x="0" y="0"/>
                                </a:moveTo>
                                <a:lnTo>
                                  <a:pt x="7053262" y="0"/>
                                </a:lnTo>
                                <a:lnTo>
                                  <a:pt x="705326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40FDF" id="Group 1187" o:spid="_x0000_s1026" style="width:555.35pt;height:2.25pt;mso-position-horizontal-relative:char;mso-position-vertical-relative:line" coordsize="7053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">
                <v:shape id="Shape 2420" o:spid="_x0000_s1027" style="position:absolute;width:70532;height:285;visibility:visible;mso-wrap-style:square;v-text-anchor:top" coordsize="7053262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9g8AA&#10;AADdAAAADwAAAGRycy9kb3ducmV2LnhtbERPy4rCMBTdD/gP4QruxtTijFKNYoQBZ+kLt5fm2lSb&#10;m9JktP79ZDEwy8N5L9e9a8SDulB7VjAZZyCIS29qrhScjl/vcxAhIhtsPJOCFwVYrwZvSyyMf/Ke&#10;HodYiRTCoUAFNsa2kDKUlhyGsW+JE3f1ncOYYFdJ0+EzhbtG5ln2KR3WnBostrS1VN4PP05BpW/z&#10;rZmdL/6013dt7LdG/aHUaNhvFiAi9fFf/OfeGQX5NE/705v0BO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m9g8AAAADdAAAADwAAAAAAAAAAAAAAAACYAgAAZHJzL2Rvd25y&#10;ZXYueG1sUEsFBgAAAAAEAAQA9QAAAIUDAAAAAA==&#10;" path="m,l7053262,r,28575l,28575,,e" fillcolor="#676767" stroked="f" strokeweight="0">
                  <v:stroke miterlimit="83231f" joinstyle="miter"/>
                  <v:path arrowok="t" textboxrect="0,0,7053262,28575"/>
                </v:shape>
                <w10:anchorlock/>
              </v:group>
            </w:pict>
          </mc:Fallback>
        </mc:AlternateContent>
      </w:r>
    </w:p>
    <w:p w:rsidR="00093CD1" w:rsidRDefault="002B127B">
      <w:pPr>
        <w:pStyle w:val="Heading1"/>
        <w:ind w:left="-5"/>
      </w:pPr>
      <w:r>
        <w:t>Position Information</w:t>
      </w:r>
    </w:p>
    <w:p w:rsidR="00093CD1" w:rsidRDefault="002B127B">
      <w:pPr>
        <w:spacing w:after="218" w:line="259" w:lineRule="auto"/>
        <w:ind w:left="0" w:right="-4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53262" cy="28575"/>
                <wp:effectExtent l="0" t="0" r="0" b="0"/>
                <wp:docPr id="1188" name="Group 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3262" cy="28575"/>
                          <a:chOff x="0" y="0"/>
                          <a:chExt cx="7053262" cy="28575"/>
                        </a:xfrm>
                      </wpg:grpSpPr>
                      <wps:wsp>
                        <wps:cNvPr id="2421" name="Shape 2421"/>
                        <wps:cNvSpPr/>
                        <wps:spPr>
                          <a:xfrm>
                            <a:off x="0" y="0"/>
                            <a:ext cx="7053262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8575">
                                <a:moveTo>
                                  <a:pt x="0" y="0"/>
                                </a:moveTo>
                                <a:lnTo>
                                  <a:pt x="7053262" y="0"/>
                                </a:lnTo>
                                <a:lnTo>
                                  <a:pt x="705326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4876E" id="Group 1188" o:spid="_x0000_s1026" style="width:555.35pt;height:2.25pt;mso-position-horizontal-relative:char;mso-position-vertical-relative:line" coordsize="7053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">
                <v:shape id="Shape 2421" o:spid="_x0000_s1027" style="position:absolute;width:70532;height:285;visibility:visible;mso-wrap-style:square;v-text-anchor:top" coordsize="7053262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YGMQA&#10;AADdAAAADwAAAGRycy9kb3ducmV2LnhtbESPT2sCMRTE74LfITyhN8262CpboxhBaI/+o9fH5nWz&#10;dfOybKKu394UCj0OM/MbZrnuXSNu1IXas4LpJANBXHpTc6XgdNyNFyBCRDbYeCYFDwqwXg0HSyyM&#10;v/OebodYiQThUKACG2NbSBlKSw7DxLfEyfv2ncOYZFdJ0+E9wV0j8yx7kw5rTgsWW9paKi+Hq1NQ&#10;6Z/F1szPX/601xdt7KdG/arUy6jfvIOI1Mf/8F/7wyjIZ/kUft+kJ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1GBjEAAAA3QAAAA8AAAAAAAAAAAAAAAAAmAIAAGRycy9k&#10;b3ducmV2LnhtbFBLBQYAAAAABAAEAPUAAACJAwAAAAA=&#10;" path="m,l7053262,r,28575l,28575,,e" fillcolor="#676767" stroked="f" strokeweight="0">
                  <v:stroke miterlimit="83231f" joinstyle="miter"/>
                  <v:path arrowok="t" textboxrect="0,0,7053262,28575"/>
                </v:shape>
                <w10:anchorlock/>
              </v:group>
            </w:pict>
          </mc:Fallback>
        </mc:AlternateContent>
      </w:r>
    </w:p>
    <w:p w:rsidR="00093CD1" w:rsidRDefault="002B127B">
      <w:pPr>
        <w:pStyle w:val="Heading2"/>
        <w:spacing w:after="280"/>
        <w:ind w:left="-5"/>
      </w:pPr>
      <w:r>
        <w:t>Position Information</w:t>
      </w:r>
    </w:p>
    <w:tbl>
      <w:tblPr>
        <w:tblStyle w:val="TableGrid"/>
        <w:tblW w:w="110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7599"/>
      </w:tblGrid>
      <w:tr w:rsidR="00093CD1">
        <w:trPr>
          <w:trHeight w:val="339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Job Title</w:t>
            </w: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Psychiatrist – University of Notre Dame</w:t>
            </w:r>
          </w:p>
        </w:tc>
      </w:tr>
      <w:tr w:rsidR="00093CD1">
        <w:trPr>
          <w:trHeight w:val="4974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Job Description</w:t>
            </w: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  <w:jc w:val="both"/>
            </w:pPr>
            <w:r>
              <w:t>Beacon Medical Group Behavioral Health and the University of Notre Dame are seeking</w:t>
            </w:r>
          </w:p>
          <w:p w:rsidR="00093CD1" w:rsidRDefault="002B127B">
            <w:pPr>
              <w:spacing w:after="0" w:line="241" w:lineRule="auto"/>
              <w:ind w:left="0" w:firstLine="0"/>
            </w:pPr>
            <w:r>
              <w:t>BC/BE Psychiatrists to provide outpatient and inpatient Adult and Adolescent Psychiatric Services. In this collaborative position, you will help shape a new community initiative between the University of Notre Dame and Beacon Medical Group. Psychiatrists w</w:t>
            </w:r>
            <w:r>
              <w:t xml:space="preserve">ill work in the hospital setting of Beacon; while supporting the work and research at the University through the care of college students at the University of Notre Dame and the community at the </w:t>
            </w:r>
            <w:proofErr w:type="spellStart"/>
            <w:r>
              <w:t>Veldman</w:t>
            </w:r>
            <w:proofErr w:type="spellEnd"/>
            <w:r>
              <w:t xml:space="preserve"> Family Psychology Clinic.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t>This partnership is designe</w:t>
            </w:r>
            <w:r>
              <w:t xml:space="preserve">d to establish Notre Dame as a field-leader in mental health research and service delivery to multiple populations. The University of Notre Dame has psychiatric providers at the </w:t>
            </w:r>
            <w:hyperlink r:id="rId5">
              <w:r>
                <w:rPr>
                  <w:b/>
                  <w:color w:val="0000EE"/>
                  <w:u w:val="single" w:color="0000EE"/>
                </w:rPr>
                <w:t>Universit</w:t>
              </w:r>
            </w:hyperlink>
            <w:hyperlink r:id="rId6">
              <w:r>
                <w:rPr>
                  <w:b/>
                  <w:color w:val="0000EE"/>
                </w:rPr>
                <w:t>y</w:t>
              </w:r>
            </w:hyperlink>
            <w:hyperlink r:id="rId7">
              <w:r>
                <w:rPr>
                  <w:b/>
                  <w:color w:val="0000EE"/>
                  <w:u w:val="single" w:color="0000EE"/>
                </w:rPr>
                <w:t xml:space="preserve"> Counselin</w:t>
              </w:r>
            </w:hyperlink>
            <w:hyperlink r:id="rId8">
              <w:r>
                <w:rPr>
                  <w:b/>
                  <w:color w:val="0000EE"/>
                </w:rPr>
                <w:t>g</w:t>
              </w:r>
            </w:hyperlink>
            <w:hyperlink r:id="rId9">
              <w:r>
                <w:rPr>
                  <w:b/>
                  <w:color w:val="0000EE"/>
                  <w:u w:val="single" w:color="0000EE"/>
                </w:rPr>
                <w:t xml:space="preserve"> Center</w:t>
              </w:r>
            </w:hyperlink>
            <w:r>
              <w:t xml:space="preserve"> (UCC) who work with our diverse and highly motivated student population to offer evaluations and medication management in collaboration with the UCC’s licensed c</w:t>
            </w:r>
            <w:r>
              <w:t xml:space="preserve">linicians and University Health Services. The position will also be placed in the </w:t>
            </w:r>
            <w:hyperlink r:id="rId10">
              <w:proofErr w:type="spellStart"/>
              <w:r>
                <w:rPr>
                  <w:b/>
                  <w:color w:val="0000EE"/>
                  <w:u w:val="single" w:color="0000EE"/>
                </w:rPr>
                <w:t>Veldman</w:t>
              </w:r>
              <w:proofErr w:type="spellEnd"/>
              <w:r>
                <w:rPr>
                  <w:b/>
                  <w:color w:val="0000EE"/>
                  <w:u w:val="single" w:color="0000EE"/>
                </w:rPr>
                <w:t xml:space="preserve"> Famil</w:t>
              </w:r>
            </w:hyperlink>
            <w:hyperlink r:id="rId11">
              <w:r>
                <w:rPr>
                  <w:b/>
                  <w:color w:val="0000EE"/>
                </w:rPr>
                <w:t>y</w:t>
              </w:r>
            </w:hyperlink>
            <w:hyperlink r:id="rId12">
              <w:r>
                <w:rPr>
                  <w:b/>
                  <w:color w:val="0000EE"/>
                  <w:u w:val="single" w:color="0000EE"/>
                </w:rPr>
                <w:t xml:space="preserve"> Ps</w:t>
              </w:r>
            </w:hyperlink>
            <w:hyperlink r:id="rId13">
              <w:r>
                <w:rPr>
                  <w:b/>
                  <w:color w:val="0000EE"/>
                </w:rPr>
                <w:t>y</w:t>
              </w:r>
            </w:hyperlink>
            <w:hyperlink r:id="rId14">
              <w:r>
                <w:rPr>
                  <w:b/>
                  <w:color w:val="0000EE"/>
                  <w:u w:val="single" w:color="0000EE"/>
                </w:rPr>
                <w:t>cholo</w:t>
              </w:r>
            </w:hyperlink>
            <w:hyperlink r:id="rId15">
              <w:r>
                <w:rPr>
                  <w:b/>
                  <w:color w:val="0000EE"/>
                </w:rPr>
                <w:t>gy</w:t>
              </w:r>
            </w:hyperlink>
            <w:hyperlink r:id="rId16">
              <w:r>
                <w:rPr>
                  <w:b/>
                  <w:color w:val="0000EE"/>
                  <w:u w:val="single" w:color="0000EE"/>
                </w:rPr>
                <w:t xml:space="preserve"> Clinic </w:t>
              </w:r>
            </w:hyperlink>
            <w:r>
              <w:t>to support eager community members ready to make a positive change in their own lives and those of their families. T</w:t>
            </w:r>
            <w:r>
              <w:t>he clinic will also serve as a training location for Notre Dame’s Clinical Psychology doctoral program. Potential areas of focus for research could include college mental health, trauma informed care, substance use, suicide prevention, family violence, spo</w:t>
            </w:r>
            <w:r>
              <w:t>rts psychology, and maternal and child health. Beacon Medical Group, a division of Beacon Health System, is the largest, most integrated medical group in the region, employing more than 400 physicians and representing over 50 different specialties througho</w:t>
            </w:r>
            <w:r>
              <w:t>ut Northern Indiana and Southwestern Michigan. For more details on Beacon Health System, please visit: beaconhealthsystem.org.</w:t>
            </w:r>
          </w:p>
        </w:tc>
      </w:tr>
    </w:tbl>
    <w:p w:rsidR="00093CD1" w:rsidRDefault="002B127B">
      <w:pPr>
        <w:ind w:left="3445"/>
      </w:pPr>
      <w:r>
        <w:t>The position would offer a market competitive salary and benefit package from Beacon Medical Group, including, but not limited t</w:t>
      </w:r>
      <w:r>
        <w:t>o:</w:t>
      </w:r>
    </w:p>
    <w:p w:rsidR="00093CD1" w:rsidRDefault="002B127B">
      <w:pPr>
        <w:numPr>
          <w:ilvl w:val="0"/>
          <w:numId w:val="1"/>
        </w:numPr>
        <w:spacing w:after="0" w:line="259" w:lineRule="auto"/>
        <w:ind w:hanging="123"/>
      </w:pPr>
      <w:r>
        <w:t>Medical, Dental, and Vision Insurance</w:t>
      </w:r>
    </w:p>
    <w:p w:rsidR="00093CD1" w:rsidRDefault="002B127B">
      <w:pPr>
        <w:numPr>
          <w:ilvl w:val="0"/>
          <w:numId w:val="1"/>
        </w:numPr>
        <w:ind w:hanging="123"/>
      </w:pPr>
      <w:r>
        <w:t>Life Insurance</w:t>
      </w:r>
    </w:p>
    <w:p w:rsidR="00093CD1" w:rsidRDefault="002B127B">
      <w:pPr>
        <w:numPr>
          <w:ilvl w:val="0"/>
          <w:numId w:val="1"/>
        </w:numPr>
        <w:ind w:hanging="123"/>
      </w:pPr>
      <w:r>
        <w:t>Long-term Disability</w:t>
      </w:r>
    </w:p>
    <w:p w:rsidR="00093CD1" w:rsidRDefault="002B127B">
      <w:pPr>
        <w:numPr>
          <w:ilvl w:val="0"/>
          <w:numId w:val="1"/>
        </w:numPr>
        <w:ind w:hanging="123"/>
      </w:pPr>
      <w:r>
        <w:t>Relocation Allowance</w:t>
      </w:r>
    </w:p>
    <w:p w:rsidR="00093CD1" w:rsidRDefault="002B127B">
      <w:pPr>
        <w:numPr>
          <w:ilvl w:val="0"/>
          <w:numId w:val="1"/>
        </w:numPr>
        <w:ind w:hanging="123"/>
      </w:pPr>
      <w:r>
        <w:t>J-1 Waiver Friendly</w:t>
      </w:r>
    </w:p>
    <w:p w:rsidR="00093CD1" w:rsidRDefault="002B127B">
      <w:pPr>
        <w:numPr>
          <w:ilvl w:val="0"/>
          <w:numId w:val="1"/>
        </w:numPr>
        <w:ind w:hanging="123"/>
      </w:pPr>
      <w:r>
        <w:t>CME Allowance</w:t>
      </w:r>
    </w:p>
    <w:p w:rsidR="00093CD1" w:rsidRDefault="002B127B">
      <w:pPr>
        <w:numPr>
          <w:ilvl w:val="0"/>
          <w:numId w:val="1"/>
        </w:numPr>
        <w:spacing w:after="0" w:line="259" w:lineRule="auto"/>
        <w:ind w:hanging="123"/>
      </w:pPr>
      <w:r>
        <w:t>Retirement Savings 403(b) and 457(b) Plans</w:t>
      </w:r>
    </w:p>
    <w:p w:rsidR="00093CD1" w:rsidRDefault="002B127B">
      <w:pPr>
        <w:numPr>
          <w:ilvl w:val="0"/>
          <w:numId w:val="1"/>
        </w:numPr>
        <w:spacing w:after="0" w:line="259" w:lineRule="auto"/>
        <w:ind w:hanging="123"/>
      </w:pPr>
      <w:r>
        <w:t>Paid Malpractice with Tail Coverage Endorsement</w:t>
      </w:r>
    </w:p>
    <w:p w:rsidR="00093CD1" w:rsidRDefault="002B127B">
      <w:pPr>
        <w:numPr>
          <w:ilvl w:val="0"/>
          <w:numId w:val="1"/>
        </w:numPr>
        <w:spacing w:after="0" w:line="259" w:lineRule="auto"/>
        <w:ind w:hanging="123"/>
      </w:pPr>
      <w:r>
        <w:t>Student Loan Repayment Assistance</w:t>
      </w:r>
    </w:p>
    <w:p w:rsidR="00093CD1" w:rsidRDefault="002B127B">
      <w:pPr>
        <w:numPr>
          <w:ilvl w:val="0"/>
          <w:numId w:val="1"/>
        </w:numPr>
        <w:ind w:hanging="123"/>
      </w:pPr>
      <w:r>
        <w:t>Competitive Salary</w:t>
      </w:r>
    </w:p>
    <w:p w:rsidR="00093CD1" w:rsidRDefault="002B127B">
      <w:pPr>
        <w:numPr>
          <w:ilvl w:val="0"/>
          <w:numId w:val="1"/>
        </w:numPr>
        <w:spacing w:after="215"/>
        <w:ind w:hanging="123"/>
      </w:pPr>
      <w:r>
        <w:t>Opportunity at the University of Notre Dame to do teaching, training and research</w:t>
      </w:r>
    </w:p>
    <w:p w:rsidR="00093CD1" w:rsidRDefault="002B127B">
      <w:pPr>
        <w:ind w:left="3445"/>
      </w:pPr>
      <w:r>
        <w:t>Beacon Health System locations span across north central Indiana and into southwest</w:t>
      </w:r>
    </w:p>
    <w:p w:rsidR="00093CD1" w:rsidRDefault="002B127B">
      <w:pPr>
        <w:spacing w:after="218"/>
        <w:ind w:left="3445"/>
      </w:pPr>
      <w:r>
        <w:t>Michigan. It is one of the top 2% of hospitals nationwide to achieve a 5 Star CMS Hospital Rating and a AA- bond rating, placing Beacon in the top 10th percentile of health systems across the country. Our physicians and associates enjoy the vibrant surroun</w:t>
      </w:r>
      <w:r>
        <w:t xml:space="preserve">ding communities which include Elkhart, Granger, </w:t>
      </w:r>
      <w:proofErr w:type="spellStart"/>
      <w:r>
        <w:t>LaPorte</w:t>
      </w:r>
      <w:proofErr w:type="spellEnd"/>
      <w:r>
        <w:t>, Mishawaka, and South Bend.</w:t>
      </w:r>
    </w:p>
    <w:p w:rsidR="00093CD1" w:rsidRDefault="002B127B">
      <w:pPr>
        <w:ind w:left="3445"/>
      </w:pPr>
      <w:r>
        <w:t xml:space="preserve">The University </w:t>
      </w:r>
      <w:proofErr w:type="gramStart"/>
      <w:r>
        <w:t>of</w:t>
      </w:r>
      <w:proofErr w:type="gramEnd"/>
      <w:r>
        <w:t xml:space="preserve"> Notre Dame is one of America’s leading undergraduate teaching institutions, and is at the forefront in research and scholarship. The University has a tra</w:t>
      </w:r>
      <w:r>
        <w:t>dition and is committed to educating our students holistically, endeavoring to develop a sense of community and responsibility that prepares students to make positive change in the world. The University is also committed to engaging and serving the local S</w:t>
      </w:r>
      <w:r>
        <w:t>outh Bend community through partnerships and collaborative projects. At Notre Dame, staff are provided with an environment where they are both challenged and supported.</w:t>
      </w:r>
    </w:p>
    <w:tbl>
      <w:tblPr>
        <w:tblStyle w:val="TableGrid"/>
        <w:tblW w:w="111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7663"/>
      </w:tblGrid>
      <w:tr w:rsidR="00093CD1">
        <w:trPr>
          <w:trHeight w:val="1059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lastRenderedPageBreak/>
              <w:t>Minimum Qualifications</w:t>
            </w:r>
          </w:p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Preferred Qualifications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Special Instructions to Applicants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093CD1">
            <w:pPr>
              <w:spacing w:after="160" w:line="259" w:lineRule="auto"/>
              <w:ind w:left="0" w:firstLine="0"/>
            </w:pPr>
          </w:p>
        </w:tc>
      </w:tr>
      <w:tr w:rsidR="00093CD1">
        <w:trPr>
          <w:trHeight w:val="81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De</w:t>
            </w:r>
            <w:r>
              <w:rPr>
                <w:b/>
              </w:rPr>
              <w:t>partment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Department Website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University Counseling Center (17045)</w:t>
            </w:r>
          </w:p>
        </w:tc>
      </w:tr>
      <w:tr w:rsidR="00093CD1">
        <w:trPr>
          <w:trHeight w:val="40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Family / Sub-Family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Health Services / Psychiatry</w:t>
            </w:r>
          </w:p>
        </w:tc>
      </w:tr>
      <w:tr w:rsidR="00093CD1">
        <w:trPr>
          <w:trHeight w:val="81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Career Stream/Level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Department Hiring Pay Range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Other</w:t>
            </w:r>
          </w:p>
        </w:tc>
      </w:tr>
      <w:tr w:rsidR="00093CD1">
        <w:trPr>
          <w:trHeight w:val="40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Pay ID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Semi-Monthly</w:t>
            </w:r>
          </w:p>
        </w:tc>
      </w:tr>
      <w:tr w:rsidR="00093CD1">
        <w:trPr>
          <w:trHeight w:val="81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FLSA Status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Job Category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S1 - FT Exempt</w:t>
            </w:r>
          </w:p>
        </w:tc>
      </w:tr>
      <w:tr w:rsidR="00093CD1">
        <w:trPr>
          <w:trHeight w:val="40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Job Type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t>Full-time</w:t>
            </w:r>
          </w:p>
        </w:tc>
      </w:tr>
      <w:tr w:rsidR="00093CD1">
        <w:trPr>
          <w:trHeight w:val="1374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Schedule: Days of Week &amp; Hours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</w:tcPr>
          <w:p w:rsidR="00093CD1" w:rsidRDefault="002B127B">
            <w:pPr>
              <w:spacing w:after="0" w:line="241" w:lineRule="auto"/>
              <w:ind w:left="0" w:firstLine="0"/>
            </w:pPr>
            <w:r>
              <w:t xml:space="preserve">The candidate in this position will be employed through Beacon Health System and will partner with the University of Notre Dame while working on campus 50% to support the University Counseling Center and </w:t>
            </w:r>
            <w:proofErr w:type="spellStart"/>
            <w:r>
              <w:t>Veldman</w:t>
            </w:r>
            <w:proofErr w:type="spellEnd"/>
            <w:r>
              <w:t xml:space="preserve"> Family Psycho</w:t>
            </w:r>
            <w:r>
              <w:t xml:space="preserve">logy Clinic. A full description of the Physician Opportunity can be found on the Beacon </w:t>
            </w:r>
            <w:hyperlink r:id="rId17">
              <w:r>
                <w:rPr>
                  <w:b/>
                  <w:color w:val="551A8B"/>
                  <w:u w:val="single" w:color="551A8B"/>
                </w:rPr>
                <w:t>website</w:t>
              </w:r>
            </w:hyperlink>
          </w:p>
          <w:p w:rsidR="00093CD1" w:rsidRDefault="002B127B">
            <w:pPr>
              <w:spacing w:after="0" w:line="259" w:lineRule="auto"/>
              <w:ind w:left="0" w:firstLine="0"/>
            </w:pPr>
            <w:r>
              <w:t>(https://www.beaconhealthsystem.org/beacon-medical-group/physician-opportunities/).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t>Interested applicants will follow the direction of Beacon for application submission.</w:t>
            </w:r>
          </w:p>
          <w:p w:rsidR="002B127B" w:rsidRDefault="002B127B">
            <w:pPr>
              <w:spacing w:after="0" w:line="259" w:lineRule="auto"/>
              <w:ind w:left="0" w:firstLine="0"/>
            </w:pPr>
            <w:r>
              <w:t xml:space="preserve">Please send CV to </w:t>
            </w:r>
            <w:bookmarkStart w:id="0" w:name="_GoBack"/>
            <w:bookmarkEnd w:id="0"/>
            <w:r>
              <w:t xml:space="preserve"> Caren Foster @ cjfoster@beaconhealthsystem.org</w:t>
            </w:r>
          </w:p>
        </w:tc>
      </w:tr>
    </w:tbl>
    <w:p w:rsidR="00093CD1" w:rsidRDefault="002B127B">
      <w:pPr>
        <w:spacing w:after="163" w:line="259" w:lineRule="auto"/>
        <w:ind w:left="-5"/>
      </w:pPr>
      <w:r>
        <w:rPr>
          <w:b/>
        </w:rPr>
        <w:t>Schedule: Hours/Week</w:t>
      </w:r>
    </w:p>
    <w:p w:rsidR="00093CD1" w:rsidRDefault="002B127B">
      <w:pPr>
        <w:pStyle w:val="Heading2"/>
        <w:ind w:left="-5"/>
      </w:pPr>
      <w:r>
        <w:t>Schedule: # of months</w:t>
      </w:r>
    </w:p>
    <w:p w:rsidR="00093CD1" w:rsidRDefault="002B127B">
      <w:pPr>
        <w:spacing w:after="281" w:line="259" w:lineRule="auto"/>
        <w:ind w:left="0" w:right="-4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53262" cy="28575"/>
                <wp:effectExtent l="0" t="0" r="0" b="0"/>
                <wp:docPr id="1406" name="Group 1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3262" cy="28575"/>
                          <a:chOff x="0" y="0"/>
                          <a:chExt cx="7053262" cy="28575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0" y="0"/>
                            <a:ext cx="7053262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8575">
                                <a:moveTo>
                                  <a:pt x="0" y="0"/>
                                </a:moveTo>
                                <a:lnTo>
                                  <a:pt x="7053262" y="0"/>
                                </a:lnTo>
                                <a:lnTo>
                                  <a:pt x="705326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DDB44" id="Group 1406" o:spid="_x0000_s1026" style="width:555.35pt;height:2.25pt;mso-position-horizontal-relative:char;mso-position-vertical-relative:line" coordsize="7053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">
                <v:shape id="Shape 2432" o:spid="_x0000_s1027" style="position:absolute;width:70532;height:285;visibility:visible;mso-wrap-style:square;v-text-anchor:top" coordsize="7053262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4QssQA&#10;AADdAAAADwAAAGRycy9kb3ducmV2LnhtbESPQWsCMRSE74L/ITyhN826rVW2RjFCoT1qFa+PzXOz&#10;dfOybFLd/vumIHgcZuYbZrnuXSOu1IXas4LpJANBXHpTc6Xg8PU+XoAIEdlg45kU/FKA9Wo4WGJh&#10;/I13dN3HSiQIhwIV2BjbQspQWnIYJr4lTt7Zdw5jkl0lTYe3BHeNzLPsVTqsOS1YbGlrqbzsf5yC&#10;Sn8vtmZ+PPnDTl+0sZ8a9Uypp1G/eQMRqY+P8L39YRTkL885/L9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+ELLEAAAA3QAAAA8AAAAAAAAAAAAAAAAAmAIAAGRycy9k&#10;b3ducmV2LnhtbFBLBQYAAAAABAAEAPUAAACJAwAAAAA=&#10;" path="m,l7053262,r,28575l,28575,,e" fillcolor="#676767" stroked="f" strokeweight="0">
                  <v:stroke miterlimit="83231f" joinstyle="miter"/>
                  <v:path arrowok="t" textboxrect="0,0,7053262,28575"/>
                </v:shape>
                <w10:anchorlock/>
              </v:group>
            </w:pict>
          </mc:Fallback>
        </mc:AlternateContent>
      </w:r>
    </w:p>
    <w:p w:rsidR="00093CD1" w:rsidRDefault="002B127B">
      <w:pPr>
        <w:pStyle w:val="Heading1"/>
        <w:ind w:left="-5"/>
      </w:pPr>
      <w:r>
        <w:t>Posting Detail Information</w:t>
      </w:r>
    </w:p>
    <w:tbl>
      <w:tblPr>
        <w:tblStyle w:val="TableGrid"/>
        <w:tblW w:w="11107" w:type="dxa"/>
        <w:tblInd w:w="0" w:type="dxa"/>
        <w:tblCellMar>
          <w:top w:w="0" w:type="dxa"/>
          <w:left w:w="0" w:type="dxa"/>
          <w:bottom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450"/>
        <w:gridCol w:w="7657"/>
      </w:tblGrid>
      <w:tr w:rsidR="00093CD1">
        <w:trPr>
          <w:trHeight w:val="3360"/>
        </w:trPr>
        <w:tc>
          <w:tcPr>
            <w:tcW w:w="3450" w:type="dxa"/>
            <w:tcBorders>
              <w:top w:val="single" w:sz="18" w:space="0" w:color="676767"/>
              <w:left w:val="nil"/>
              <w:bottom w:val="single" w:sz="18" w:space="0" w:color="676767"/>
              <w:right w:val="nil"/>
            </w:tcBorders>
            <w:vAlign w:val="bottom"/>
          </w:tcPr>
          <w:p w:rsidR="00093CD1" w:rsidRDefault="002B127B">
            <w:pPr>
              <w:spacing w:after="553" w:line="259" w:lineRule="auto"/>
              <w:ind w:left="0" w:firstLine="0"/>
            </w:pPr>
            <w:r>
              <w:rPr>
                <w:b/>
              </w:rPr>
              <w:t>Posting Detail Information</w:t>
            </w:r>
          </w:p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Job Posting Date (Campus)</w:t>
            </w:r>
          </w:p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Job Posting Date (Public)</w:t>
            </w:r>
          </w:p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Job Closing Date</w:t>
            </w:r>
          </w:p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Posting Type</w:t>
            </w:r>
          </w:p>
          <w:p w:rsidR="00093CD1" w:rsidRDefault="002B127B">
            <w:pPr>
              <w:spacing w:after="163" w:line="259" w:lineRule="auto"/>
              <w:ind w:left="0" w:firstLine="0"/>
            </w:pPr>
            <w:r>
              <w:rPr>
                <w:b/>
              </w:rPr>
              <w:t>Posting Number</w:t>
            </w:r>
          </w:p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</w:rPr>
              <w:t>Quick Link for Internal Postings</w:t>
            </w:r>
          </w:p>
        </w:tc>
        <w:tc>
          <w:tcPr>
            <w:tcW w:w="7657" w:type="dxa"/>
            <w:tcBorders>
              <w:top w:val="single" w:sz="18" w:space="0" w:color="676767"/>
              <w:left w:val="nil"/>
              <w:bottom w:val="single" w:sz="18" w:space="0" w:color="676767"/>
              <w:right w:val="nil"/>
            </w:tcBorders>
            <w:vAlign w:val="bottom"/>
          </w:tcPr>
          <w:p w:rsidR="00093CD1" w:rsidRDefault="002B127B">
            <w:pPr>
              <w:spacing w:after="0" w:line="259" w:lineRule="auto"/>
              <w:ind w:left="0" w:firstLine="0"/>
            </w:pPr>
            <w:hyperlink r:id="rId18">
              <w:r>
                <w:rPr>
                  <w:color w:val="0000EE"/>
                  <w:u w:val="single" w:color="0000EE"/>
                </w:rPr>
                <w:t>https://</w:t>
              </w:r>
            </w:hyperlink>
            <w:hyperlink r:id="rId19">
              <w:r>
                <w:rPr>
                  <w:color w:val="0000EE"/>
                </w:rPr>
                <w:t>j</w:t>
              </w:r>
            </w:hyperlink>
            <w:hyperlink r:id="rId20">
              <w:r>
                <w:rPr>
                  <w:color w:val="0000EE"/>
                  <w:u w:val="single" w:color="0000EE"/>
                </w:rPr>
                <w:t>obs.nd.edu/postin</w:t>
              </w:r>
            </w:hyperlink>
            <w:hyperlink r:id="rId21">
              <w:r>
                <w:rPr>
                  <w:color w:val="0000EE"/>
                </w:rPr>
                <w:t>g</w:t>
              </w:r>
            </w:hyperlink>
            <w:hyperlink r:id="rId22">
              <w:r>
                <w:rPr>
                  <w:color w:val="0000EE"/>
                  <w:u w:val="single" w:color="0000EE"/>
                </w:rPr>
                <w:t>s/36682</w:t>
              </w:r>
            </w:hyperlink>
          </w:p>
        </w:tc>
      </w:tr>
      <w:tr w:rsidR="00093CD1">
        <w:trPr>
          <w:trHeight w:val="840"/>
        </w:trPr>
        <w:tc>
          <w:tcPr>
            <w:tcW w:w="3450" w:type="dxa"/>
            <w:tcBorders>
              <w:top w:val="single" w:sz="18" w:space="0" w:color="676767"/>
              <w:left w:val="nil"/>
              <w:bottom w:val="single" w:sz="18" w:space="0" w:color="676767"/>
              <w:right w:val="nil"/>
            </w:tcBorders>
            <w:vAlign w:val="center"/>
          </w:tcPr>
          <w:p w:rsidR="00093CD1" w:rsidRDefault="002B127B">
            <w:pPr>
              <w:spacing w:after="0" w:line="259" w:lineRule="auto"/>
              <w:ind w:left="0" w:firstLine="0"/>
            </w:pPr>
            <w:r>
              <w:rPr>
                <w:b/>
                <w:sz w:val="27"/>
              </w:rPr>
              <w:t>Supplemental Q</w:t>
            </w:r>
            <w:r>
              <w:rPr>
                <w:b/>
                <w:sz w:val="27"/>
              </w:rPr>
              <w:t>uestions</w:t>
            </w:r>
          </w:p>
        </w:tc>
        <w:tc>
          <w:tcPr>
            <w:tcW w:w="7657" w:type="dxa"/>
            <w:tcBorders>
              <w:top w:val="single" w:sz="18" w:space="0" w:color="676767"/>
              <w:left w:val="nil"/>
              <w:bottom w:val="single" w:sz="18" w:space="0" w:color="676767"/>
              <w:right w:val="nil"/>
            </w:tcBorders>
          </w:tcPr>
          <w:p w:rsidR="00093CD1" w:rsidRDefault="00093CD1">
            <w:pPr>
              <w:spacing w:after="160" w:line="259" w:lineRule="auto"/>
              <w:ind w:left="0" w:firstLine="0"/>
            </w:pPr>
          </w:p>
        </w:tc>
      </w:tr>
    </w:tbl>
    <w:p w:rsidR="00093CD1" w:rsidRDefault="002B127B">
      <w:pPr>
        <w:ind w:left="10"/>
      </w:pPr>
      <w:r>
        <w:t>Required fields are indicated with an asterisk (*).</w:t>
      </w:r>
    </w:p>
    <w:p w:rsidR="00093CD1" w:rsidRDefault="002B127B">
      <w:pPr>
        <w:spacing w:after="281" w:line="259" w:lineRule="auto"/>
        <w:ind w:left="0" w:right="-4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53262" cy="28575"/>
                <wp:effectExtent l="0" t="0" r="0" b="0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3262" cy="28575"/>
                          <a:chOff x="0" y="0"/>
                          <a:chExt cx="7053262" cy="28575"/>
                        </a:xfrm>
                      </wpg:grpSpPr>
                      <wps:wsp>
                        <wps:cNvPr id="2433" name="Shape 2433"/>
                        <wps:cNvSpPr/>
                        <wps:spPr>
                          <a:xfrm>
                            <a:off x="0" y="0"/>
                            <a:ext cx="7053262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8575">
                                <a:moveTo>
                                  <a:pt x="0" y="0"/>
                                </a:moveTo>
                                <a:lnTo>
                                  <a:pt x="7053262" y="0"/>
                                </a:lnTo>
                                <a:lnTo>
                                  <a:pt x="705326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6991A" id="Group 1407" o:spid="_x0000_s1026" style="width:555.35pt;height:2.25pt;mso-position-horizontal-relative:char;mso-position-vertical-relative:line" coordsize="7053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">
                <v:shape id="Shape 2433" o:spid="_x0000_s1027" style="position:absolute;width:70532;height:285;visibility:visible;mso-wrap-style:square;v-text-anchor:top" coordsize="7053262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1KcQA&#10;AADdAAAADwAAAGRycy9kb3ducmV2LnhtbESPT2sCMRTE70K/Q3iF3jRb/1RZjWKEgj1qLV4fm+dm&#10;6+Zl2URdv70pCD0OM/MbZrHqXC2u1IbKs4L3QQaCuPCm4lLB4fuzPwMRIrLB2jMpuFOA1fKlt8Dc&#10;+Bvv6LqPpUgQDjkqsDE2uZShsOQwDHxDnLyTbx3GJNtSmhZvCe5qOcyyD+mw4rRgsaGNpeK8vzgF&#10;pf6dbcz05+gPO33Wxn5p1BOl3l679RxEpC7+h5/trVEwHI9G8PcmP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ytSnEAAAA3QAAAA8AAAAAAAAAAAAAAAAAmAIAAGRycy9k&#10;b3ducmV2LnhtbFBLBQYAAAAABAAEAPUAAACJAwAAAAA=&#10;" path="m,l7053262,r,28575l,28575,,e" fillcolor="#676767" stroked="f" strokeweight="0">
                  <v:stroke miterlimit="83231f" joinstyle="miter"/>
                  <v:path arrowok="t" textboxrect="0,0,7053262,28575"/>
                </v:shape>
                <w10:anchorlock/>
              </v:group>
            </w:pict>
          </mc:Fallback>
        </mc:AlternateContent>
      </w:r>
    </w:p>
    <w:p w:rsidR="00093CD1" w:rsidRDefault="002B127B">
      <w:pPr>
        <w:pStyle w:val="Heading1"/>
        <w:ind w:left="-5"/>
      </w:pPr>
      <w:r>
        <w:t>Documents Needed to Apply</w:t>
      </w:r>
    </w:p>
    <w:p w:rsidR="00093CD1" w:rsidRDefault="002B127B">
      <w:pPr>
        <w:spacing w:after="233" w:line="259" w:lineRule="auto"/>
        <w:ind w:left="0" w:right="-4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53262" cy="28575"/>
                <wp:effectExtent l="0" t="0" r="0" b="0"/>
                <wp:docPr id="1408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3262" cy="28575"/>
                          <a:chOff x="0" y="0"/>
                          <a:chExt cx="7053262" cy="28575"/>
                        </a:xfrm>
                      </wpg:grpSpPr>
                      <wps:wsp>
                        <wps:cNvPr id="2434" name="Shape 2434"/>
                        <wps:cNvSpPr/>
                        <wps:spPr>
                          <a:xfrm>
                            <a:off x="0" y="0"/>
                            <a:ext cx="7053262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8575">
                                <a:moveTo>
                                  <a:pt x="0" y="0"/>
                                </a:moveTo>
                                <a:lnTo>
                                  <a:pt x="7053262" y="0"/>
                                </a:lnTo>
                                <a:lnTo>
                                  <a:pt x="705326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9AE9A" id="Group 1408" o:spid="_x0000_s1026" style="width:555.35pt;height:2.25pt;mso-position-horizontal-relative:char;mso-position-vertical-relative:line" coordsize="7053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">
                <v:shape id="Shape 2434" o:spid="_x0000_s1027" style="position:absolute;width:70532;height:285;visibility:visible;mso-wrap-style:square;v-text-anchor:top" coordsize="7053262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stXcQA&#10;AADdAAAADwAAAGRycy9kb3ducmV2LnhtbESPQWsCMRSE70L/Q3iF3jRbq1VWoxihoEetxetj89xs&#10;3bwsm6jbf28EocdhZr5h5svO1eJKbag8K3gfZCCIC28qLhUcvr/6UxAhIhusPZOCPwqwXLz05pgb&#10;f+MdXfexFAnCIUcFNsYmlzIUlhyGgW+Ik3fyrcOYZFtK0+ItwV0th1n2KR1WnBYsNrS2VJz3F6eg&#10;1L/TtZn8HP1hp8/a2K1GPVbq7bVbzUBE6uJ/+NneGAXD0ccIHm/SE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LV3EAAAA3QAAAA8AAAAAAAAAAAAAAAAAmAIAAGRycy9k&#10;b3ducmV2LnhtbFBLBQYAAAAABAAEAPUAAACJAwAAAAA=&#10;" path="m,l7053262,r,28575l,28575,,e" fillcolor="#676767" stroked="f" strokeweight="0">
                  <v:stroke miterlimit="83231f" joinstyle="miter"/>
                  <v:path arrowok="t" textboxrect="0,0,7053262,28575"/>
                </v:shape>
                <w10:anchorlock/>
              </v:group>
            </w:pict>
          </mc:Fallback>
        </mc:AlternateContent>
      </w:r>
    </w:p>
    <w:p w:rsidR="00093CD1" w:rsidRDefault="002B127B">
      <w:pPr>
        <w:ind w:left="10"/>
      </w:pPr>
      <w:r>
        <w:t>Required Documents</w:t>
      </w:r>
    </w:p>
    <w:p w:rsidR="00093CD1" w:rsidRDefault="002B127B">
      <w:pPr>
        <w:spacing w:after="185"/>
        <w:ind w:left="10"/>
      </w:pPr>
      <w:r>
        <w:t>None</w:t>
      </w:r>
    </w:p>
    <w:p w:rsidR="00093CD1" w:rsidRDefault="002B127B">
      <w:pPr>
        <w:spacing w:after="185"/>
        <w:ind w:left="10"/>
      </w:pPr>
      <w:r>
        <w:lastRenderedPageBreak/>
        <w:t>Optional Documents</w:t>
      </w:r>
    </w:p>
    <w:p w:rsidR="00093CD1" w:rsidRDefault="002B127B">
      <w:pPr>
        <w:ind w:left="10"/>
      </w:pPr>
      <w:r>
        <w:t>None</w:t>
      </w:r>
    </w:p>
    <w:sectPr w:rsidR="00093CD1">
      <w:pgSz w:w="12240" w:h="15840"/>
      <w:pgMar w:top="608" w:right="611" w:bottom="709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966BC"/>
    <w:multiLevelType w:val="hybridMultilevel"/>
    <w:tmpl w:val="EC04E326"/>
    <w:lvl w:ilvl="0" w:tplc="EC7AA92A">
      <w:start w:val="1"/>
      <w:numFmt w:val="bullet"/>
      <w:lvlText w:val="•"/>
      <w:lvlJc w:val="left"/>
      <w:pPr>
        <w:ind w:left="3558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EC08DC6">
      <w:start w:val="1"/>
      <w:numFmt w:val="bullet"/>
      <w:lvlText w:val="o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485248">
      <w:start w:val="1"/>
      <w:numFmt w:val="bullet"/>
      <w:lvlText w:val="▪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16D018">
      <w:start w:val="1"/>
      <w:numFmt w:val="bullet"/>
      <w:lvlText w:val="•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18F17E">
      <w:start w:val="1"/>
      <w:numFmt w:val="bullet"/>
      <w:lvlText w:val="o"/>
      <w:lvlJc w:val="left"/>
      <w:pPr>
        <w:ind w:left="669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BAAEFA">
      <w:start w:val="1"/>
      <w:numFmt w:val="bullet"/>
      <w:lvlText w:val="▪"/>
      <w:lvlJc w:val="left"/>
      <w:pPr>
        <w:ind w:left="741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5A44D2C">
      <w:start w:val="1"/>
      <w:numFmt w:val="bullet"/>
      <w:lvlText w:val="•"/>
      <w:lvlJc w:val="left"/>
      <w:pPr>
        <w:ind w:left="813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6869A6">
      <w:start w:val="1"/>
      <w:numFmt w:val="bullet"/>
      <w:lvlText w:val="o"/>
      <w:lvlJc w:val="left"/>
      <w:pPr>
        <w:ind w:left="885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166D78">
      <w:start w:val="1"/>
      <w:numFmt w:val="bullet"/>
      <w:lvlText w:val="▪"/>
      <w:lvlJc w:val="left"/>
      <w:pPr>
        <w:ind w:left="9570"/>
      </w:pPr>
      <w:rPr>
        <w:rFonts w:ascii="Arial" w:eastAsia="Arial" w:hAnsi="Arial" w:cs="Arial"/>
        <w:b w:val="0"/>
        <w:i w:val="0"/>
        <w:strike w:val="0"/>
        <w:dstrike w:val="0"/>
        <w:color w:val="67676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D1"/>
    <w:rsid w:val="00093CD1"/>
    <w:rsid w:val="002B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A6AD"/>
  <w15:docId w15:val="{27BDCADC-6DA8-49E2-91F1-73A39A6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3460" w:hanging="10"/>
    </w:pPr>
    <w:rPr>
      <w:rFonts w:ascii="Arial" w:eastAsia="Arial" w:hAnsi="Arial" w:cs="Arial"/>
      <w:color w:val="676767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676767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676767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676767"/>
      <w:sz w:val="19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76767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c.nd.edu/counseling-services/psychiatric-services/" TargetMode="External"/><Relationship Id="rId13" Type="http://schemas.openxmlformats.org/officeDocument/2006/relationships/hyperlink" Target="https://news.nd.edu/news/veldman-family-makes-gift-to-notre-dame-for-a-mental-health-research-and-services-clinic/" TargetMode="External"/><Relationship Id="rId18" Type="http://schemas.openxmlformats.org/officeDocument/2006/relationships/hyperlink" Target="https://jobs.nd.edu/postings/366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bs.nd.edu/postings/36682" TargetMode="External"/><Relationship Id="rId7" Type="http://schemas.openxmlformats.org/officeDocument/2006/relationships/hyperlink" Target="https://ucc.nd.edu/counseling-services/psychiatric-services/" TargetMode="External"/><Relationship Id="rId12" Type="http://schemas.openxmlformats.org/officeDocument/2006/relationships/hyperlink" Target="https://news.nd.edu/news/veldman-family-makes-gift-to-notre-dame-for-a-mental-health-research-and-services-clinic/" TargetMode="External"/><Relationship Id="rId17" Type="http://schemas.openxmlformats.org/officeDocument/2006/relationships/hyperlink" Target="https://www.beaconhealthsystem.org/beacon-medical-group/physician-opportunit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nd.edu/news/veldman-family-makes-gift-to-notre-dame-for-a-mental-health-research-and-services-clinic/" TargetMode="External"/><Relationship Id="rId20" Type="http://schemas.openxmlformats.org/officeDocument/2006/relationships/hyperlink" Target="https://jobs.nd.edu/postings/366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c.nd.edu/counseling-services/psychiatric-services/" TargetMode="External"/><Relationship Id="rId11" Type="http://schemas.openxmlformats.org/officeDocument/2006/relationships/hyperlink" Target="https://news.nd.edu/news/veldman-family-makes-gift-to-notre-dame-for-a-mental-health-research-and-services-clinic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c.nd.edu/counseling-services/psychiatric-services/" TargetMode="External"/><Relationship Id="rId15" Type="http://schemas.openxmlformats.org/officeDocument/2006/relationships/hyperlink" Target="https://news.nd.edu/news/veldman-family-makes-gift-to-notre-dame-for-a-mental-health-research-and-services-clini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ews.nd.edu/news/veldman-family-makes-gift-to-notre-dame-for-a-mental-health-research-and-services-clinic/" TargetMode="External"/><Relationship Id="rId19" Type="http://schemas.openxmlformats.org/officeDocument/2006/relationships/hyperlink" Target="https://jobs.nd.edu/postings/36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c.nd.edu/counseling-services/psychiatric-services/" TargetMode="External"/><Relationship Id="rId14" Type="http://schemas.openxmlformats.org/officeDocument/2006/relationships/hyperlink" Target="https://news.nd.edu/news/veldman-family-makes-gift-to-notre-dame-for-a-mental-health-research-and-services-clinic/" TargetMode="External"/><Relationship Id="rId22" Type="http://schemas.openxmlformats.org/officeDocument/2006/relationships/hyperlink" Target="https://jobs.nd.edu/postings/3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5552</Characters>
  <Application>Microsoft Office Word</Application>
  <DocSecurity>0</DocSecurity>
  <Lines>46</Lines>
  <Paragraphs>13</Paragraphs>
  <ScaleCrop>false</ScaleCrop>
  <Company>Beacon Health System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Notre Dame HR Site :: Posting Print Preview</dc:title>
  <dc:subject/>
  <dc:creator>Angela Harness</dc:creator>
  <cp:keywords/>
  <cp:lastModifiedBy>Angela Harness</cp:lastModifiedBy>
  <cp:revision>2</cp:revision>
  <dcterms:created xsi:type="dcterms:W3CDTF">2025-03-11T18:40:00Z</dcterms:created>
  <dcterms:modified xsi:type="dcterms:W3CDTF">2025-03-11T18:40:00Z</dcterms:modified>
</cp:coreProperties>
</file>